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20" w:lineRule="exact"/>
        <w:jc w:val="left"/>
        <w:rPr>
          <w:rFonts w:ascii="方正小标宋简体" w:hAnsi="宋体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附件2</w:t>
      </w:r>
    </w:p>
    <w:p>
      <w:pPr>
        <w:spacing w:before="120" w:beforeLines="50" w:after="120" w:afterLines="50"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</w:rPr>
        <w:t>马鞍山师范高等专科学校实验室安全隐患自查自纠汇总表</w:t>
      </w:r>
    </w:p>
    <w:p>
      <w:pPr>
        <w:spacing w:before="240" w:beforeLines="100" w:after="120" w:afterLines="50" w:line="320" w:lineRule="exact"/>
        <w:rPr>
          <w:rFonts w:hint="default" w:ascii="宋体" w:hAnsi="宋体" w:eastAsia="宋体" w:cs="宋体"/>
          <w:b/>
          <w:bCs/>
          <w:kern w:val="0"/>
          <w:sz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</w:rPr>
        <w:t>系部</w:t>
      </w:r>
      <w:r>
        <w:rPr>
          <w:rFonts w:hint="eastAsia" w:ascii="宋体" w:hAnsi="宋体" w:cs="宋体"/>
          <w:b/>
          <w:bCs/>
          <w:kern w:val="0"/>
          <w:sz w:val="28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lang w:eastAsia="zh-CN"/>
        </w:rPr>
        <w:t>）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 </w:t>
      </w:r>
      <w:r>
        <w:rPr>
          <w:rFonts w:ascii="宋体" w:hAnsi="宋体" w:cs="宋体"/>
          <w:b/>
          <w:bCs/>
          <w:kern w:val="0"/>
          <w:sz w:val="28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  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none"/>
          <w:lang w:val="en-US" w:eastAsia="zh-CN"/>
        </w:rPr>
        <w:t xml:space="preserve">    检查时间：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</w:t>
      </w:r>
    </w:p>
    <w:tbl>
      <w:tblPr>
        <w:tblStyle w:val="4"/>
        <w:tblW w:w="15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72"/>
        <w:gridCol w:w="2176"/>
        <w:gridCol w:w="4403"/>
        <w:gridCol w:w="3452"/>
        <w:gridCol w:w="1619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74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2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实验室类别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（教学、科研）</w:t>
            </w:r>
          </w:p>
        </w:tc>
        <w:tc>
          <w:tcPr>
            <w:tcW w:w="2176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实验室房间号</w:t>
            </w: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整改责任人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74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restart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74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2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2176" w:type="dxa"/>
            <w:vMerge w:val="continue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40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5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4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650" w:type="dxa"/>
            <w:gridSpan w:val="4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2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2146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实验（实训）室</w:t>
            </w:r>
          </w:p>
          <w:p>
            <w:pPr>
              <w:spacing w:line="32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安全检查小结报告</w:t>
            </w:r>
          </w:p>
        </w:tc>
        <w:tc>
          <w:tcPr>
            <w:tcW w:w="11650" w:type="dxa"/>
            <w:gridSpan w:val="4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pgSz w:w="16838" w:h="11906" w:orient="landscape"/>
      <w:pgMar w:top="1134" w:right="1531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Q0MTllMGJmNmRhNGFmYWZlYmY1ZWI3YTZmZTYifQ=="/>
    <w:docVar w:name="KSO_WPS_MARK_KEY" w:val="cd931f37-230b-439f-81d3-e33700fdd07d"/>
  </w:docVars>
  <w:rsids>
    <w:rsidRoot w:val="00364F44"/>
    <w:rsid w:val="002D406E"/>
    <w:rsid w:val="00364F44"/>
    <w:rsid w:val="003C2953"/>
    <w:rsid w:val="00C2237A"/>
    <w:rsid w:val="00E3689E"/>
    <w:rsid w:val="22945A5F"/>
    <w:rsid w:val="3BB45CBB"/>
    <w:rsid w:val="4FBB067D"/>
    <w:rsid w:val="63E461B7"/>
    <w:rsid w:val="754E52B9"/>
    <w:rsid w:val="7F0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122</Characters>
  <Lines>2</Lines>
  <Paragraphs>1</Paragraphs>
  <TotalTime>13</TotalTime>
  <ScaleCrop>false</ScaleCrop>
  <LinksUpToDate>false</LinksUpToDate>
  <CharactersWithSpaces>204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2022-08-30T00:28:00Z</dcterms:created>
  <dc:creator>maslsh</dc:creator>
  <cp:lastModifiedBy>姚正</cp:lastModifiedBy>
  <dcterms:modified xsi:type="dcterms:W3CDTF">2023-06-25T02:21:00Z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EC7B0C0110FA4FCCB39E172EFEEA725C</vt:lpwstr>
  </property>
</Properties>
</file>